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2" w:rsidRPr="007A529C" w:rsidRDefault="00FC3012" w:rsidP="0071196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aps/>
          <w:color w:val="31849B" w:themeColor="accent5" w:themeShade="BF"/>
          <w:sz w:val="28"/>
          <w:szCs w:val="28"/>
          <w:lang w:val="uk-UA"/>
        </w:rPr>
      </w:pPr>
      <w:r w:rsidRPr="007A529C">
        <w:rPr>
          <w:rFonts w:ascii="Times New Roman" w:hAnsi="Times New Roman" w:cs="Times New Roman"/>
          <w:b/>
          <w:bCs/>
          <w:caps/>
          <w:color w:val="31849B" w:themeColor="accent5" w:themeShade="BF"/>
          <w:sz w:val="28"/>
          <w:szCs w:val="28"/>
          <w:lang w:val="uk-UA"/>
        </w:rPr>
        <w:t>цінник типових робіт</w:t>
      </w:r>
    </w:p>
    <w:p w:rsidR="00F91B32" w:rsidRPr="00F6640A" w:rsidRDefault="00F91B32" w:rsidP="0071196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1B32" w:rsidRPr="00F6640A" w:rsidRDefault="00F91B32" w:rsidP="00FC3012">
      <w:pPr>
        <w:spacing w:after="0" w:line="240" w:lineRule="auto"/>
        <w:jc w:val="center"/>
        <w:rPr>
          <w:lang w:val="uk-UA"/>
        </w:rPr>
      </w:pP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Орієнтовні ціни на </w:t>
      </w:r>
      <w:r w:rsidR="00FC30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типові </w:t>
      </w: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роботи при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підготовці </w:t>
      </w:r>
      <w:r w:rsidR="00FC30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бюджету проекту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F91B32" w:rsidRPr="00F6640A" w:rsidRDefault="00F91B32" w:rsidP="00633795">
      <w:pPr>
        <w:pStyle w:val="1"/>
        <w:ind w:firstLine="720"/>
        <w:jc w:val="both"/>
        <w:rPr>
          <w:lang w:val="uk-UA"/>
        </w:rPr>
      </w:pPr>
    </w:p>
    <w:p w:rsidR="00F91B32" w:rsidRDefault="00F91B32" w:rsidP="00633795">
      <w:pPr>
        <w:pStyle w:val="1"/>
        <w:ind w:firstLine="720"/>
        <w:jc w:val="both"/>
        <w:rPr>
          <w:lang w:val="uk-UA"/>
        </w:rPr>
      </w:pPr>
      <w:r w:rsidRPr="00DE34C4">
        <w:rPr>
          <w:lang w:val="uk-UA"/>
        </w:rPr>
        <w:t xml:space="preserve">Для підготовки </w:t>
      </w:r>
      <w:r>
        <w:rPr>
          <w:lang w:val="uk-UA"/>
        </w:rPr>
        <w:t xml:space="preserve">правильного кошторису </w:t>
      </w:r>
      <w:r w:rsidRPr="00DE34C4">
        <w:rPr>
          <w:lang w:val="uk-UA"/>
        </w:rPr>
        <w:t>(бюджет</w:t>
      </w:r>
      <w:r>
        <w:rPr>
          <w:lang w:val="uk-UA"/>
        </w:rPr>
        <w:t>у</w:t>
      </w:r>
      <w:r w:rsidRPr="00DE34C4">
        <w:rPr>
          <w:lang w:val="uk-UA"/>
        </w:rPr>
        <w:t xml:space="preserve">) проектної пропозиції, авторам рекомендується </w:t>
      </w:r>
      <w:r>
        <w:rPr>
          <w:lang w:val="uk-UA"/>
        </w:rPr>
        <w:t>співпрацювати</w:t>
      </w:r>
      <w:r w:rsidRPr="00DE34C4">
        <w:rPr>
          <w:lang w:val="uk-UA"/>
        </w:rPr>
        <w:t xml:space="preserve"> з профільними підрозділами міськвиконкому, проектними і підрядними організаціями. </w:t>
      </w:r>
    </w:p>
    <w:p w:rsidR="00F91B32" w:rsidRPr="00F6640A" w:rsidRDefault="00F91B32" w:rsidP="00633795">
      <w:pPr>
        <w:pStyle w:val="1"/>
        <w:ind w:firstLine="720"/>
        <w:jc w:val="both"/>
        <w:rPr>
          <w:lang w:val="uk-UA"/>
        </w:rPr>
      </w:pPr>
      <w:r w:rsidRPr="00DE34C4">
        <w:rPr>
          <w:lang w:val="uk-UA"/>
        </w:rPr>
        <w:t>Кошторис містить різні статті витрат.</w:t>
      </w:r>
      <w:r>
        <w:rPr>
          <w:lang w:val="uk-UA"/>
        </w:rPr>
        <w:t xml:space="preserve"> </w:t>
      </w:r>
    </w:p>
    <w:p w:rsidR="00F91B32" w:rsidRPr="00F6640A" w:rsidRDefault="00F91B32" w:rsidP="005F2F63">
      <w:pPr>
        <w:pStyle w:val="1"/>
        <w:ind w:firstLine="720"/>
        <w:jc w:val="both"/>
        <w:rPr>
          <w:lang w:val="uk-UA"/>
        </w:rPr>
      </w:pPr>
      <w:r w:rsidRPr="00F6640A">
        <w:rPr>
          <w:lang w:val="uk-UA"/>
        </w:rPr>
        <w:t>При підготовці кошторису рекомендуємо звернутися до організацій різних форм власності з запитами на комерційні пропозиції для визначення реальної вартості видів діяльності (роботи, послуги, товари</w:t>
      </w:r>
      <w:r w:rsidR="00FC3012">
        <w:rPr>
          <w:lang w:val="uk-UA"/>
        </w:rPr>
        <w:t>).</w:t>
      </w:r>
    </w:p>
    <w:p w:rsidR="0008630F" w:rsidRPr="0008630F" w:rsidRDefault="0008630F" w:rsidP="0008630F">
      <w:pPr>
        <w:pStyle w:val="1"/>
        <w:ind w:firstLine="720"/>
        <w:jc w:val="both"/>
        <w:rPr>
          <w:lang w:val="uk-UA"/>
        </w:rPr>
      </w:pPr>
      <w:proofErr w:type="spellStart"/>
      <w:proofErr w:type="gramStart"/>
      <w:r w:rsidRPr="0008630F">
        <w:rPr>
          <w:lang w:val="uk-UA"/>
        </w:rPr>
        <w:t>Корисні</w:t>
      </w:r>
      <w:proofErr w:type="spellEnd"/>
      <w:r w:rsidRPr="0008630F">
        <w:rPr>
          <w:lang w:val="uk-UA"/>
        </w:rPr>
        <w:t xml:space="preserve"> </w:t>
      </w:r>
      <w:proofErr w:type="spellStart"/>
      <w:r w:rsidRPr="0008630F">
        <w:rPr>
          <w:lang w:val="uk-UA"/>
        </w:rPr>
        <w:t>дані</w:t>
      </w:r>
      <w:proofErr w:type="spellEnd"/>
      <w:r w:rsidRPr="0008630F">
        <w:rPr>
          <w:lang w:val="uk-UA"/>
        </w:rPr>
        <w:t xml:space="preserve"> </w:t>
      </w:r>
      <w:proofErr w:type="spellStart"/>
      <w:r w:rsidRPr="0008630F">
        <w:rPr>
          <w:lang w:val="uk-UA"/>
        </w:rPr>
        <w:t>ви</w:t>
      </w:r>
      <w:proofErr w:type="spellEnd"/>
      <w:r w:rsidRPr="0008630F">
        <w:rPr>
          <w:lang w:val="uk-UA"/>
        </w:rPr>
        <w:t xml:space="preserve"> можете </w:t>
      </w:r>
      <w:proofErr w:type="spellStart"/>
      <w:r w:rsidRPr="0008630F">
        <w:rPr>
          <w:lang w:val="uk-UA"/>
        </w:rPr>
        <w:t>знайти</w:t>
      </w:r>
      <w:proofErr w:type="spellEnd"/>
      <w:r w:rsidRPr="0008630F">
        <w:rPr>
          <w:lang w:val="uk-UA"/>
        </w:rPr>
        <w:t xml:space="preserve"> на </w:t>
      </w:r>
      <w:proofErr w:type="spellStart"/>
      <w:r w:rsidRPr="0008630F">
        <w:rPr>
          <w:lang w:val="uk-UA"/>
        </w:rPr>
        <w:t>сайті</w:t>
      </w:r>
      <w:proofErr w:type="spellEnd"/>
      <w:r w:rsidRPr="0008630F">
        <w:rPr>
          <w:lang w:val="uk-UA"/>
        </w:rPr>
        <w:fldChar w:fldCharType="begin"/>
      </w:r>
      <w:r w:rsidRPr="0008630F">
        <w:rPr>
          <w:lang w:val="uk-UA"/>
        </w:rPr>
        <w:instrText xml:space="preserve"> HYPERLINK "http://www.minregion.gov.ua/napryamki-diyalnosti/building/pricing/tsinoutvorennya/pro-indeksi-zmini-vartosti-budivelnih-robit-stanom-na-1-kvitnya-2016-roku/" </w:instrText>
      </w:r>
      <w:r w:rsidRPr="0008630F">
        <w:rPr>
          <w:lang w:val="uk-UA"/>
        </w:rPr>
        <w:fldChar w:fldCharType="separate"/>
      </w:r>
      <w:r w:rsidRPr="0008630F">
        <w:rPr>
          <w:lang w:val="uk-UA"/>
        </w:rPr>
        <w:t> http://www.minregion.gov.ua</w:t>
      </w:r>
      <w:r w:rsidRPr="0008630F">
        <w:rPr>
          <w:lang w:val="uk-UA"/>
        </w:rPr>
        <w:fldChar w:fldCharType="end"/>
      </w:r>
      <w:r w:rsidRPr="0008630F">
        <w:rPr>
          <w:lang w:val="uk-UA"/>
        </w:rPr>
        <w:t xml:space="preserve">. </w:t>
      </w:r>
      <w:proofErr w:type="spellStart"/>
      <w:r w:rsidRPr="0008630F">
        <w:rPr>
          <w:lang w:val="uk-UA"/>
        </w:rPr>
        <w:t>Наприклад</w:t>
      </w:r>
      <w:proofErr w:type="spellEnd"/>
      <w:r w:rsidRPr="0008630F">
        <w:rPr>
          <w:lang w:val="uk-UA"/>
        </w:rPr>
        <w:t>:</w:t>
      </w:r>
      <w:proofErr w:type="gramEnd"/>
    </w:p>
    <w:p w:rsidR="0008630F" w:rsidRDefault="0008630F" w:rsidP="0008630F">
      <w:pPr>
        <w:pStyle w:val="1"/>
        <w:ind w:firstLine="720"/>
        <w:rPr>
          <w:lang w:val="uk-UA"/>
        </w:rPr>
      </w:pPr>
      <w:r w:rsidRPr="0008630F">
        <w:rPr>
          <w:lang w:val="uk-UA"/>
        </w:rPr>
        <w:t>І</w:t>
      </w:r>
      <w:r w:rsidRPr="0008630F">
        <w:rPr>
          <w:lang w:val="uk-UA"/>
        </w:rPr>
        <w:t>ндекси</w:t>
      </w:r>
      <w:r>
        <w:rPr>
          <w:lang w:val="uk-UA"/>
        </w:rPr>
        <w:t xml:space="preserve"> </w:t>
      </w:r>
      <w:r w:rsidRPr="0008630F">
        <w:rPr>
          <w:lang w:val="uk-UA"/>
        </w:rPr>
        <w:t>зміни</w:t>
      </w:r>
      <w:r>
        <w:rPr>
          <w:lang w:val="uk-UA"/>
        </w:rPr>
        <w:t xml:space="preserve"> вартості будівельних </w:t>
      </w:r>
      <w:r w:rsidRPr="0008630F">
        <w:rPr>
          <w:lang w:val="uk-UA"/>
        </w:rPr>
        <w:t>робіт:</w:t>
      </w:r>
      <w:r>
        <w:rPr>
          <w:lang w:val="uk-UA"/>
        </w:rPr>
        <w:t xml:space="preserve"> </w:t>
      </w:r>
    </w:p>
    <w:p w:rsidR="0008630F" w:rsidRPr="0008630F" w:rsidRDefault="0008630F" w:rsidP="0008630F">
      <w:pPr>
        <w:pStyle w:val="1"/>
        <w:ind w:firstLine="720"/>
        <w:rPr>
          <w:lang w:val="uk-UA"/>
        </w:rPr>
      </w:pPr>
      <w:hyperlink r:id="rId8" w:history="1">
        <w:r w:rsidRPr="00C15571">
          <w:rPr>
            <w:rStyle w:val="ae"/>
            <w:lang w:val="uk-UA"/>
          </w:rPr>
          <w:t> http://www.minregion.gov.ua/napryamkidiyalnosti/building/pricing/tsinoutvorennya/pro-indeksi-zmini-vartosti-budivelnih-robit-stanom-na-1-kvitnya-2016-roku/</w:t>
        </w:r>
      </w:hyperlink>
    </w:p>
    <w:p w:rsidR="0008630F" w:rsidRDefault="0008630F" w:rsidP="0008630F">
      <w:pPr>
        <w:pStyle w:val="1"/>
        <w:ind w:firstLine="720"/>
        <w:jc w:val="both"/>
        <w:rPr>
          <w:lang w:val="uk-UA"/>
        </w:rPr>
      </w:pPr>
      <w:r>
        <w:rPr>
          <w:lang w:val="uk-UA"/>
        </w:rPr>
        <w:t xml:space="preserve">ціни </w:t>
      </w:r>
      <w:r w:rsidRPr="0008630F">
        <w:rPr>
          <w:lang w:val="uk-UA"/>
        </w:rPr>
        <w:t>на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дорожньо-будівельні</w:t>
      </w:r>
      <w:proofErr w:type="spellEnd"/>
      <w:r>
        <w:rPr>
          <w:lang w:val="uk-UA"/>
        </w:rPr>
        <w:t xml:space="preserve"> </w:t>
      </w:r>
      <w:r w:rsidRPr="0008630F">
        <w:rPr>
          <w:lang w:val="uk-UA"/>
        </w:rPr>
        <w:t>матеріали: </w:t>
      </w:r>
    </w:p>
    <w:p w:rsidR="00F91B32" w:rsidRPr="00F6640A" w:rsidRDefault="0008630F" w:rsidP="0008630F">
      <w:pPr>
        <w:pStyle w:val="1"/>
        <w:ind w:firstLine="720"/>
        <w:jc w:val="both"/>
        <w:rPr>
          <w:b/>
          <w:bCs/>
          <w:lang w:val="uk-UA"/>
        </w:rPr>
      </w:pPr>
      <w:hyperlink r:id="rId9" w:history="1">
        <w:r w:rsidRPr="00C15571">
          <w:rPr>
            <w:rStyle w:val="ae"/>
            <w:lang w:val="uk-UA"/>
          </w:rPr>
          <w:t>http://www.minregion.gov.ua/napryamkidiyalnosti/building/pricing/tsinoutvorennya/shhodo-tsi</w:t>
        </w:r>
        <w:r w:rsidRPr="00C15571">
          <w:rPr>
            <w:rStyle w:val="ae"/>
            <w:lang w:val="uk-UA"/>
          </w:rPr>
          <w:t>n</w:t>
        </w:r>
        <w:r w:rsidRPr="00C15571">
          <w:rPr>
            <w:rStyle w:val="ae"/>
            <w:lang w:val="uk-UA"/>
          </w:rPr>
          <w:t>-na-materialni-resursi-shho-zastosovuyutsya-pri-vikonanni-dorozhnih-robit-na-avtomobilnih-dorogah-zagalnogo-koristuvannya-2/</w:t>
        </w:r>
      </w:hyperlink>
    </w:p>
    <w:p w:rsidR="0008630F" w:rsidRDefault="0008630F" w:rsidP="000863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(Для активації посилання натисніть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клікніть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посилання)</w:t>
      </w:r>
    </w:p>
    <w:p w:rsidR="00F91B32" w:rsidRPr="00F6640A" w:rsidRDefault="00F91B32" w:rsidP="0032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Проектно-кошторисні роботи</w:t>
      </w:r>
    </w:p>
    <w:p w:rsidR="00F91B32" w:rsidRPr="00F6640A" w:rsidRDefault="00F91B32" w:rsidP="00325FEF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Вартість проектно-кошторисних робіт є індивідуальною для кожної проектної пропозиції і визначається коефіцієнтом 5-15% від загальної вар</w:t>
      </w:r>
      <w:bookmarkStart w:id="0" w:name="_GoBack"/>
      <w:bookmarkEnd w:id="0"/>
      <w:r w:rsidRPr="00F66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тості пропозиції. Також у вартість проектно-кошторисних робіт може додатково входити геодезична зйомка та підтвердження технічних мереж. </w:t>
      </w:r>
    </w:p>
    <w:p w:rsidR="00F91B32" w:rsidRPr="00F6640A" w:rsidRDefault="00F91B32" w:rsidP="0071196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Інфраструктура та благоустрій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3"/>
        <w:gridCol w:w="1960"/>
        <w:gridCol w:w="2876"/>
      </w:tblGrid>
      <w:tr w:rsidR="00F91B32" w:rsidRPr="00F6640A" w:rsidTr="00FC3012">
        <w:tc>
          <w:tcPr>
            <w:tcW w:w="5443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Назва послуг/робіт/товарів</w:t>
            </w:r>
          </w:p>
        </w:tc>
        <w:tc>
          <w:tcPr>
            <w:tcW w:w="1960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2876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Орієнтовна вартість, грн.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Влаштування дорожнього покриття </w:t>
            </w:r>
          </w:p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(асфальтобетон)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м. кв.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350 - 450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Улаштування покриттів з </w:t>
            </w:r>
            <w:proofErr w:type="spellStart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дрібнорозмірних</w:t>
            </w:r>
            <w:proofErr w:type="spellEnd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фігурних елементів (бруківка, плитка)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м. кв.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600 - 900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>Послуги з влаштування хідників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м. м2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300 - 750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Встановлення урни для сміття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300 - 2000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Встановлення чавунної урни для сміття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8000 – 10 000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>Встановлення  металевих декоративних стовпчиків (висота 130 см або 170 см)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250 - 1100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 xml:space="preserve">Послуги з фарбування елементів благоустрою 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</w:t>
            </w:r>
            <w:proofErr w:type="spellEnd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/м2/послуга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45 - 200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Послуги з ремонту вуличних меблів (поточний ремонт) 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500 - 3000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 xml:space="preserve">Послуги із встановлення та ремонту (поточного) дорожніх знаків 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700 - 1650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>Встановлення металевої огорожі (сітка)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10 м. погон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1200 - 1500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 xml:space="preserve">Встановлення бетонного паркану 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10 м. погон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2000 - 2500</w:t>
            </w:r>
          </w:p>
        </w:tc>
      </w:tr>
      <w:tr w:rsidR="00F91B32" w:rsidRPr="00F6640A" w:rsidTr="00FC3012">
        <w:tc>
          <w:tcPr>
            <w:tcW w:w="5443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 xml:space="preserve">Встановлення паркану з профнастилу </w:t>
            </w:r>
          </w:p>
        </w:tc>
        <w:tc>
          <w:tcPr>
            <w:tcW w:w="1960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10 м. погон</w:t>
            </w:r>
          </w:p>
        </w:tc>
        <w:tc>
          <w:tcPr>
            <w:tcW w:w="2876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2500 - 3000</w:t>
            </w:r>
          </w:p>
        </w:tc>
      </w:tr>
    </w:tbl>
    <w:p w:rsidR="00F91B32" w:rsidRPr="00F6640A" w:rsidRDefault="00F91B32" w:rsidP="007119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Озеленення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9"/>
        <w:gridCol w:w="1733"/>
        <w:gridCol w:w="2907"/>
      </w:tblGrid>
      <w:tr w:rsidR="00F91B32" w:rsidRPr="00F6640A" w:rsidTr="00FC3012">
        <w:tc>
          <w:tcPr>
            <w:tcW w:w="5639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Назва послуг/робіт/товару</w:t>
            </w:r>
          </w:p>
        </w:tc>
        <w:tc>
          <w:tcPr>
            <w:tcW w:w="1733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2907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Орієнтовна вартість, грн.</w:t>
            </w:r>
          </w:p>
        </w:tc>
      </w:tr>
      <w:tr w:rsidR="00F91B32" w:rsidRPr="00F6640A" w:rsidTr="00FC3012">
        <w:tc>
          <w:tcPr>
            <w:tcW w:w="5639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Якісний саджанець дерева (від 2,5 метрів висоти, 5 см в діаметрі стовбура)</w:t>
            </w:r>
          </w:p>
        </w:tc>
        <w:tc>
          <w:tcPr>
            <w:tcW w:w="1733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Листяних порід: 3000</w:t>
            </w:r>
          </w:p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Хвойних порід: 2000</w:t>
            </w:r>
          </w:p>
        </w:tc>
      </w:tr>
      <w:tr w:rsidR="00F91B32" w:rsidRPr="00F6640A" w:rsidTr="00FC3012">
        <w:tc>
          <w:tcPr>
            <w:tcW w:w="5639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Якісний саджанець куща</w:t>
            </w:r>
          </w:p>
        </w:tc>
        <w:tc>
          <w:tcPr>
            <w:tcW w:w="1733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Листяних порід: 350</w:t>
            </w:r>
          </w:p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Хвойних порід: 500</w:t>
            </w:r>
          </w:p>
        </w:tc>
      </w:tr>
      <w:tr w:rsidR="00F91B32" w:rsidRPr="00F6640A" w:rsidTr="00FC3012">
        <w:tc>
          <w:tcPr>
            <w:tcW w:w="5639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Посадка саджанця </w:t>
            </w:r>
          </w:p>
        </w:tc>
        <w:tc>
          <w:tcPr>
            <w:tcW w:w="1733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400</w:t>
            </w:r>
          </w:p>
        </w:tc>
      </w:tr>
      <w:tr w:rsidR="00F91B32" w:rsidRPr="00F6640A" w:rsidTr="00FC3012">
        <w:tc>
          <w:tcPr>
            <w:tcW w:w="5639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>Послуги зрізки дерева</w:t>
            </w:r>
          </w:p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>(діаметром до 50 см)</w:t>
            </w:r>
          </w:p>
        </w:tc>
        <w:tc>
          <w:tcPr>
            <w:tcW w:w="1733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750</w:t>
            </w:r>
          </w:p>
        </w:tc>
      </w:tr>
      <w:tr w:rsidR="00F91B32" w:rsidRPr="00F6640A" w:rsidTr="00FC3012">
        <w:trPr>
          <w:trHeight w:val="416"/>
        </w:trPr>
        <w:tc>
          <w:tcPr>
            <w:tcW w:w="5639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Корчування пнів вручну з підрізанням коріння бензомоторною пилкою дерев твердолистяних порід діаметром до 70 см.</w:t>
            </w:r>
          </w:p>
        </w:tc>
        <w:tc>
          <w:tcPr>
            <w:tcW w:w="1733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700</w:t>
            </w:r>
          </w:p>
        </w:tc>
      </w:tr>
      <w:tr w:rsidR="00F91B32" w:rsidRPr="00F6640A" w:rsidTr="00FC3012">
        <w:tc>
          <w:tcPr>
            <w:tcW w:w="5639" w:type="dxa"/>
          </w:tcPr>
          <w:p w:rsidR="00F91B32" w:rsidRPr="00F6640A" w:rsidRDefault="00F91B32" w:rsidP="00711968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 xml:space="preserve">Послуги з влаштування газонів </w:t>
            </w:r>
          </w:p>
        </w:tc>
        <w:tc>
          <w:tcPr>
            <w:tcW w:w="1733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100 м2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Підготовка ґрунту під посів газону – 1600 - 2000</w:t>
            </w:r>
          </w:p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Сівба газону вручну – 500 - 700</w:t>
            </w:r>
          </w:p>
        </w:tc>
      </w:tr>
    </w:tbl>
    <w:p w:rsidR="00F91B32" w:rsidRPr="00F6640A" w:rsidRDefault="00F91B32" w:rsidP="007119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Мала архітектура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5"/>
        <w:gridCol w:w="1717"/>
        <w:gridCol w:w="2907"/>
      </w:tblGrid>
      <w:tr w:rsidR="00F91B32" w:rsidRPr="00F6640A" w:rsidTr="00FC3012">
        <w:tc>
          <w:tcPr>
            <w:tcW w:w="5655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Назва послуг/робіт/товару</w:t>
            </w:r>
          </w:p>
        </w:tc>
        <w:tc>
          <w:tcPr>
            <w:tcW w:w="1717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2907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Орієнтовна вартість, грн.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 w:eastAsia="en-US"/>
              </w:rPr>
              <w:t>Конструкція зупинки громадського транспорту  і роботи з монтажу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33 000 – 40 000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Встановлення лавки (зі спинкою / без спинки)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12 000 – 15 000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Встановлення гойдалки подвійної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6300 - 8100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Встановлення пісочниці з кришкою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2690 – 16 380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Встановлення каруселі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4900 – 11 070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Встановлення качалки на пружині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4450 - 9900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lastRenderedPageBreak/>
              <w:t>Встановлення тенісного столу (вуличного)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5100 - 7000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Встановлення вуличного турніка з брусами (комплекс)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4000 - 8877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Гумова плита (покриття спортивного майданчика)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м2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500</w:t>
            </w:r>
          </w:p>
        </w:tc>
      </w:tr>
    </w:tbl>
    <w:p w:rsidR="00F91B32" w:rsidRPr="00F6640A" w:rsidRDefault="00F91B32" w:rsidP="007119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664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Вартість об’єктів (обладнання) без встановлення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5"/>
        <w:gridCol w:w="1717"/>
        <w:gridCol w:w="2907"/>
      </w:tblGrid>
      <w:tr w:rsidR="00F91B32" w:rsidRPr="00F6640A" w:rsidTr="00FC3012">
        <w:tc>
          <w:tcPr>
            <w:tcW w:w="5655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Назва послуг/робіт/товару</w:t>
            </w:r>
          </w:p>
        </w:tc>
        <w:tc>
          <w:tcPr>
            <w:tcW w:w="1717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2907" w:type="dxa"/>
            <w:shd w:val="clear" w:color="auto" w:fill="F3F3F3"/>
            <w:vAlign w:val="center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Орієнтовна вартість, грн.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Лавка для пресу УТ 1304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3000 - 4000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Орбітрек</w:t>
            </w:r>
            <w:proofErr w:type="spellEnd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УТ 1310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4200 - 5500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Гребний тренажер УТ1308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3800 - 5000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Тяга зверху УТ 1329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9600 - 11000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Жим ногами горизонтальний УТ1316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4500 - 5500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Ворота футбольні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5000 - 6000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Стійка баскетбольна стаціонарна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5600 - 7000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Волейбольна сітка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500 - 1500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Розкладний алюмінієвий пандус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9000 - 13000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Перила на пандус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2000 - 3000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Вуличний світильник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10000 - 13000</w:t>
            </w:r>
          </w:p>
        </w:tc>
      </w:tr>
      <w:tr w:rsidR="00F91B32" w:rsidRPr="00F6640A" w:rsidTr="00FC3012">
        <w:tc>
          <w:tcPr>
            <w:tcW w:w="5655" w:type="dxa"/>
          </w:tcPr>
          <w:p w:rsidR="00F91B32" w:rsidRPr="00F6640A" w:rsidRDefault="00F91B32" w:rsidP="007119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Велосипедна </w:t>
            </w:r>
            <w:proofErr w:type="spellStart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парковка</w:t>
            </w:r>
            <w:proofErr w:type="spellEnd"/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металева (на 4 місця) </w:t>
            </w:r>
          </w:p>
        </w:tc>
        <w:tc>
          <w:tcPr>
            <w:tcW w:w="171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2907" w:type="dxa"/>
          </w:tcPr>
          <w:p w:rsidR="00F91B32" w:rsidRPr="00F6640A" w:rsidRDefault="00F91B32" w:rsidP="0071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66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1400 - 1800</w:t>
            </w:r>
          </w:p>
        </w:tc>
      </w:tr>
    </w:tbl>
    <w:p w:rsidR="00F91B32" w:rsidRPr="00F6640A" w:rsidRDefault="00F91B32" w:rsidP="007119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1B32" w:rsidRPr="00F6640A" w:rsidRDefault="00F91B32" w:rsidP="0071196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F91B32" w:rsidRPr="00F6640A" w:rsidSect="00387B7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7E" w:rsidRDefault="00BA727E" w:rsidP="00CD420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endnote>
  <w:endnote w:type="continuationSeparator" w:id="0">
    <w:p w:rsidR="00BA727E" w:rsidRDefault="00BA727E" w:rsidP="00CD420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32" w:rsidRPr="00D36A08" w:rsidRDefault="00F91B32" w:rsidP="0061556D">
    <w:pPr>
      <w:pStyle w:val="ab"/>
      <w:framePr w:wrap="auto" w:vAnchor="text" w:hAnchor="margin" w:xAlign="right" w:y="1"/>
      <w:rPr>
        <w:rStyle w:val="ad"/>
        <w:rFonts w:ascii="Times New Roman" w:hAnsi="Times New Roman" w:cs="Times New Roman"/>
        <w:sz w:val="20"/>
        <w:szCs w:val="20"/>
      </w:rPr>
    </w:pPr>
    <w:r w:rsidRPr="00D36A08">
      <w:rPr>
        <w:rStyle w:val="ad"/>
        <w:rFonts w:ascii="Times New Roman" w:hAnsi="Times New Roman" w:cs="Times New Roman"/>
        <w:sz w:val="20"/>
        <w:szCs w:val="20"/>
      </w:rPr>
      <w:fldChar w:fldCharType="begin"/>
    </w:r>
    <w:r w:rsidRPr="00D36A08">
      <w:rPr>
        <w:rStyle w:val="ad"/>
        <w:rFonts w:ascii="Times New Roman" w:hAnsi="Times New Roman" w:cs="Times New Roman"/>
        <w:sz w:val="20"/>
        <w:szCs w:val="20"/>
      </w:rPr>
      <w:instrText xml:space="preserve">PAGE  </w:instrText>
    </w:r>
    <w:r w:rsidRPr="00D36A08">
      <w:rPr>
        <w:rStyle w:val="ad"/>
        <w:rFonts w:ascii="Times New Roman" w:hAnsi="Times New Roman" w:cs="Times New Roman"/>
        <w:sz w:val="20"/>
        <w:szCs w:val="20"/>
      </w:rPr>
      <w:fldChar w:fldCharType="separate"/>
    </w:r>
    <w:r w:rsidR="0008630F">
      <w:rPr>
        <w:rStyle w:val="ad"/>
        <w:rFonts w:ascii="Times New Roman" w:hAnsi="Times New Roman" w:cs="Times New Roman"/>
        <w:noProof/>
        <w:sz w:val="20"/>
        <w:szCs w:val="20"/>
      </w:rPr>
      <w:t>1</w:t>
    </w:r>
    <w:r w:rsidRPr="00D36A08">
      <w:rPr>
        <w:rStyle w:val="ad"/>
        <w:rFonts w:ascii="Times New Roman" w:hAnsi="Times New Roman" w:cs="Times New Roman"/>
        <w:sz w:val="20"/>
        <w:szCs w:val="20"/>
      </w:rPr>
      <w:fldChar w:fldCharType="end"/>
    </w:r>
  </w:p>
  <w:p w:rsidR="00F91B32" w:rsidRDefault="00F91B32" w:rsidP="0071196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7E" w:rsidRDefault="00BA727E" w:rsidP="00CD420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footnote>
  <w:footnote w:type="continuationSeparator" w:id="0">
    <w:p w:rsidR="00BA727E" w:rsidRDefault="00BA727E" w:rsidP="00CD420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7BA"/>
    <w:multiLevelType w:val="multilevel"/>
    <w:tmpl w:val="03D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2"/>
    <w:rsid w:val="0008630F"/>
    <w:rsid w:val="000D0D1C"/>
    <w:rsid w:val="000D2B7E"/>
    <w:rsid w:val="0016259E"/>
    <w:rsid w:val="00192494"/>
    <w:rsid w:val="002021AD"/>
    <w:rsid w:val="00204C33"/>
    <w:rsid w:val="002B437A"/>
    <w:rsid w:val="00312CAC"/>
    <w:rsid w:val="00325FEF"/>
    <w:rsid w:val="00357464"/>
    <w:rsid w:val="00387B7B"/>
    <w:rsid w:val="004034AE"/>
    <w:rsid w:val="00415542"/>
    <w:rsid w:val="0050129A"/>
    <w:rsid w:val="00557550"/>
    <w:rsid w:val="0058128F"/>
    <w:rsid w:val="005F2F63"/>
    <w:rsid w:val="00607438"/>
    <w:rsid w:val="006140E5"/>
    <w:rsid w:val="0061556D"/>
    <w:rsid w:val="00615942"/>
    <w:rsid w:val="00633795"/>
    <w:rsid w:val="006A4C70"/>
    <w:rsid w:val="00711968"/>
    <w:rsid w:val="007A529C"/>
    <w:rsid w:val="007D271E"/>
    <w:rsid w:val="007F2A62"/>
    <w:rsid w:val="00834097"/>
    <w:rsid w:val="008A1D02"/>
    <w:rsid w:val="00950735"/>
    <w:rsid w:val="009C2EC3"/>
    <w:rsid w:val="00A81D96"/>
    <w:rsid w:val="00A904AB"/>
    <w:rsid w:val="00B10414"/>
    <w:rsid w:val="00B85BC2"/>
    <w:rsid w:val="00B97C31"/>
    <w:rsid w:val="00BA727E"/>
    <w:rsid w:val="00C7789E"/>
    <w:rsid w:val="00CD420A"/>
    <w:rsid w:val="00D22B9A"/>
    <w:rsid w:val="00D2339B"/>
    <w:rsid w:val="00D36A08"/>
    <w:rsid w:val="00D46097"/>
    <w:rsid w:val="00D509A1"/>
    <w:rsid w:val="00DC1D9A"/>
    <w:rsid w:val="00DD3B83"/>
    <w:rsid w:val="00DE34C4"/>
    <w:rsid w:val="00E00132"/>
    <w:rsid w:val="00E13AAA"/>
    <w:rsid w:val="00E167A0"/>
    <w:rsid w:val="00E474B6"/>
    <w:rsid w:val="00E67C69"/>
    <w:rsid w:val="00E97C91"/>
    <w:rsid w:val="00F17484"/>
    <w:rsid w:val="00F21945"/>
    <w:rsid w:val="00F47A27"/>
    <w:rsid w:val="00F6640A"/>
    <w:rsid w:val="00F91B32"/>
    <w:rsid w:val="00F96D6E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A6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C3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6074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074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074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074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07438"/>
    <w:rPr>
      <w:b/>
      <w:bCs/>
      <w:sz w:val="20"/>
      <w:szCs w:val="20"/>
    </w:rPr>
  </w:style>
  <w:style w:type="paragraph" w:styleId="ab">
    <w:name w:val="footer"/>
    <w:basedOn w:val="a"/>
    <w:link w:val="ac"/>
    <w:uiPriority w:val="99"/>
    <w:rsid w:val="007119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711968"/>
  </w:style>
  <w:style w:type="paragraph" w:customStyle="1" w:styleId="1">
    <w:name w:val="Обычный1"/>
    <w:uiPriority w:val="99"/>
    <w:rsid w:val="00633795"/>
    <w:pPr>
      <w:widowControl w:val="0"/>
    </w:pPr>
    <w:rPr>
      <w:rFonts w:ascii="Times New Roman" w:hAnsi="Times New Roman"/>
      <w:color w:val="000000"/>
      <w:sz w:val="28"/>
      <w:szCs w:val="28"/>
    </w:rPr>
  </w:style>
  <w:style w:type="character" w:styleId="ae">
    <w:name w:val="Hyperlink"/>
    <w:basedOn w:val="a0"/>
    <w:uiPriority w:val="99"/>
    <w:rsid w:val="0063379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D36A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85469"/>
    <w:rPr>
      <w:rFonts w:cs="Calibri"/>
    </w:rPr>
  </w:style>
  <w:style w:type="character" w:styleId="af1">
    <w:name w:val="FollowedHyperlink"/>
    <w:basedOn w:val="a0"/>
    <w:uiPriority w:val="99"/>
    <w:semiHidden/>
    <w:unhideWhenUsed/>
    <w:rsid w:val="00086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A6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C3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6074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074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074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074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07438"/>
    <w:rPr>
      <w:b/>
      <w:bCs/>
      <w:sz w:val="20"/>
      <w:szCs w:val="20"/>
    </w:rPr>
  </w:style>
  <w:style w:type="paragraph" w:styleId="ab">
    <w:name w:val="footer"/>
    <w:basedOn w:val="a"/>
    <w:link w:val="ac"/>
    <w:uiPriority w:val="99"/>
    <w:rsid w:val="007119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711968"/>
  </w:style>
  <w:style w:type="paragraph" w:customStyle="1" w:styleId="1">
    <w:name w:val="Обычный1"/>
    <w:uiPriority w:val="99"/>
    <w:rsid w:val="00633795"/>
    <w:pPr>
      <w:widowControl w:val="0"/>
    </w:pPr>
    <w:rPr>
      <w:rFonts w:ascii="Times New Roman" w:hAnsi="Times New Roman"/>
      <w:color w:val="000000"/>
      <w:sz w:val="28"/>
      <w:szCs w:val="28"/>
    </w:rPr>
  </w:style>
  <w:style w:type="character" w:styleId="ae">
    <w:name w:val="Hyperlink"/>
    <w:basedOn w:val="a0"/>
    <w:uiPriority w:val="99"/>
    <w:rsid w:val="0063379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D36A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85469"/>
    <w:rPr>
      <w:rFonts w:cs="Calibri"/>
    </w:rPr>
  </w:style>
  <w:style w:type="character" w:styleId="af1">
    <w:name w:val="FollowedHyperlink"/>
    <w:basedOn w:val="a0"/>
    <w:uiPriority w:val="99"/>
    <w:semiHidden/>
    <w:unhideWhenUsed/>
    <w:rsid w:val="00086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http://www.minregion.gov.ua/napryamkidiyalnosti/building/pricing/tsinoutvorennya/pro-indeksi-zmini-vartosti-budivelnih-robit-stanom-na-1-kvitnya-2016-rok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region.gov.ua/napryamkidiyalnosti/building/pricing/tsinoutvorennya/shhodo-tsin-na-materialni-resursi-shho-zastosovuyutsya-pri-vikonanni-dorozhnih-robit-na-avtomobilnih-dorogah-zagalnogo-koristuvanny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Turchyn.Zoriana</dc:creator>
  <cp:lastModifiedBy>Оксана Гаврилюк</cp:lastModifiedBy>
  <cp:revision>5</cp:revision>
  <cp:lastPrinted>2017-06-06T07:49:00Z</cp:lastPrinted>
  <dcterms:created xsi:type="dcterms:W3CDTF">2017-10-03T12:29:00Z</dcterms:created>
  <dcterms:modified xsi:type="dcterms:W3CDTF">2017-10-03T13:41:00Z</dcterms:modified>
</cp:coreProperties>
</file>